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062"/>
        <w:gridCol w:w="6954"/>
      </w:tblGrid>
      <w:tr w:rsidR="00962CF2" w14:paraId="299BA9E2" w14:textId="77777777" w:rsidTr="00B771D6">
        <w:tc>
          <w:tcPr>
            <w:tcW w:w="2062" w:type="dxa"/>
          </w:tcPr>
          <w:p w14:paraId="2646A93D" w14:textId="77777777" w:rsidR="00962CF2" w:rsidRDefault="00962CF2">
            <w:r>
              <w:t>Name of Area Meeting</w:t>
            </w:r>
          </w:p>
          <w:p w14:paraId="7FD740D4" w14:textId="77777777" w:rsidR="004052DC" w:rsidRDefault="004052DC">
            <w:r>
              <w:t>Data Controller</w:t>
            </w:r>
          </w:p>
        </w:tc>
        <w:tc>
          <w:tcPr>
            <w:tcW w:w="6954" w:type="dxa"/>
          </w:tcPr>
          <w:p w14:paraId="23F6C563" w14:textId="77777777" w:rsidR="00962CF2" w:rsidRPr="002E4A5F" w:rsidRDefault="0079572A">
            <w:r w:rsidRPr="002E4A5F">
              <w:t>Hertford &amp; Hitchin Area Meeting of the Religious Society of Friends in Great Britain</w:t>
            </w:r>
          </w:p>
          <w:p w14:paraId="7FDF03A4" w14:textId="3E7EAD67" w:rsidR="0079572A" w:rsidRPr="002E4A5F" w:rsidRDefault="002E4A5F">
            <w:r w:rsidRPr="002E4A5F">
              <w:t>Area Meeting Trustees</w:t>
            </w:r>
            <w:r w:rsidR="0055376A">
              <w:t xml:space="preserve"> (</w:t>
            </w:r>
            <w:hyperlink r:id="rId7" w:history="1">
              <w:r w:rsidR="0055376A" w:rsidRPr="0055376A">
                <w:rPr>
                  <w:rStyle w:val="Hyperlink"/>
                </w:rPr>
                <w:t>dataprotection@hhq.org.uk</w:t>
              </w:r>
            </w:hyperlink>
            <w:r w:rsidR="0055376A">
              <w:t>)</w:t>
            </w:r>
          </w:p>
        </w:tc>
      </w:tr>
      <w:tr w:rsidR="00962CF2" w14:paraId="2D2E78F7" w14:textId="77777777" w:rsidTr="00B771D6">
        <w:tc>
          <w:tcPr>
            <w:tcW w:w="2062" w:type="dxa"/>
          </w:tcPr>
          <w:p w14:paraId="53D10DF4" w14:textId="77777777" w:rsidR="00962CF2" w:rsidRDefault="00962CF2">
            <w:r>
              <w:t>Constituent Local Meetings</w:t>
            </w:r>
          </w:p>
        </w:tc>
        <w:tc>
          <w:tcPr>
            <w:tcW w:w="6954" w:type="dxa"/>
          </w:tcPr>
          <w:p w14:paraId="16113517" w14:textId="2A9030A1" w:rsidR="00962CF2" w:rsidRDefault="0079572A">
            <w:r>
              <w:t xml:space="preserve">Guilden Morden; Hertford; Hitchin; Letchworth Garden City; Stevenage; </w:t>
            </w:r>
            <w:r w:rsidR="005D2BD5">
              <w:t>Welwyn Garden City</w:t>
            </w:r>
          </w:p>
        </w:tc>
      </w:tr>
      <w:tr w:rsidR="00962CF2" w14:paraId="541E76E7" w14:textId="77777777" w:rsidTr="00B771D6">
        <w:tc>
          <w:tcPr>
            <w:tcW w:w="2062" w:type="dxa"/>
          </w:tcPr>
          <w:p w14:paraId="6AE36BC0" w14:textId="77777777" w:rsidR="00962CF2" w:rsidRDefault="00962CF2">
            <w:r>
              <w:t>Policy creation date</w:t>
            </w:r>
          </w:p>
        </w:tc>
        <w:tc>
          <w:tcPr>
            <w:tcW w:w="6954" w:type="dxa"/>
          </w:tcPr>
          <w:p w14:paraId="31A9A4A7" w14:textId="626C291F" w:rsidR="0079572A" w:rsidRDefault="0079572A">
            <w:r>
              <w:br/>
            </w:r>
            <w:r w:rsidRPr="0079572A">
              <w:rPr>
                <w:highlight w:val="yellow"/>
              </w:rPr>
              <w:t>___________.</w:t>
            </w:r>
          </w:p>
        </w:tc>
      </w:tr>
      <w:tr w:rsidR="00962CF2" w14:paraId="4E7B18A1" w14:textId="77777777" w:rsidTr="00B771D6">
        <w:tc>
          <w:tcPr>
            <w:tcW w:w="2062" w:type="dxa"/>
          </w:tcPr>
          <w:p w14:paraId="2FC46CC3" w14:textId="77777777" w:rsidR="00962CF2" w:rsidRDefault="007152F4">
            <w:r>
              <w:t xml:space="preserve">Policy </w:t>
            </w:r>
            <w:r w:rsidR="00962CF2">
              <w:t>update date</w:t>
            </w:r>
          </w:p>
        </w:tc>
        <w:tc>
          <w:tcPr>
            <w:tcW w:w="6954" w:type="dxa"/>
          </w:tcPr>
          <w:p w14:paraId="1D8D3D73" w14:textId="7FC406A8" w:rsidR="00962CF2" w:rsidRDefault="0079572A">
            <w:r>
              <w:br/>
            </w:r>
            <w:r w:rsidRPr="0079572A">
              <w:rPr>
                <w:highlight w:val="yellow"/>
              </w:rPr>
              <w:t>___________.</w:t>
            </w:r>
          </w:p>
        </w:tc>
      </w:tr>
      <w:tr w:rsidR="00962CF2" w14:paraId="23980DE3" w14:textId="77777777" w:rsidTr="00B771D6">
        <w:tc>
          <w:tcPr>
            <w:tcW w:w="2062" w:type="dxa"/>
          </w:tcPr>
          <w:p w14:paraId="636CA6A3" w14:textId="77777777" w:rsidR="00962CF2" w:rsidRDefault="00962CF2">
            <w:r>
              <w:t>Policy owner</w:t>
            </w:r>
          </w:p>
        </w:tc>
        <w:tc>
          <w:tcPr>
            <w:tcW w:w="6954" w:type="dxa"/>
          </w:tcPr>
          <w:p w14:paraId="5A41A65C" w14:textId="4CFF2B26" w:rsidR="00962CF2" w:rsidRDefault="00962CF2">
            <w:r>
              <w:t>Area Meeting</w:t>
            </w:r>
            <w:r w:rsidR="0079572A">
              <w:t xml:space="preserve"> Trustees</w:t>
            </w:r>
          </w:p>
        </w:tc>
      </w:tr>
      <w:tr w:rsidR="00037AAF" w:rsidRPr="00CD006E" w14:paraId="6D555A4A" w14:textId="77777777" w:rsidTr="00B771D6">
        <w:tc>
          <w:tcPr>
            <w:tcW w:w="2062" w:type="dxa"/>
          </w:tcPr>
          <w:p w14:paraId="1B59779D" w14:textId="77777777" w:rsidR="00037AAF" w:rsidRDefault="00037AAF">
            <w:r>
              <w:t>Glossary</w:t>
            </w:r>
          </w:p>
        </w:tc>
        <w:tc>
          <w:tcPr>
            <w:tcW w:w="6954" w:type="dxa"/>
          </w:tcPr>
          <w:p w14:paraId="524E73B6" w14:textId="07FAE129" w:rsidR="00037AAF" w:rsidRDefault="00037AAF">
            <w:r>
              <w:t>GDPR: EU General Data Protection Regulation (</w:t>
            </w:r>
            <w:hyperlink r:id="rId8" w:history="1">
              <w:r w:rsidRPr="0079572A">
                <w:rPr>
                  <w:rStyle w:val="Hyperlink"/>
                </w:rPr>
                <w:t>https://gdpr-info.eu/</w:t>
              </w:r>
            </w:hyperlink>
            <w:r>
              <w:t>)</w:t>
            </w:r>
          </w:p>
          <w:p w14:paraId="26B9F75E" w14:textId="77777777" w:rsidR="00037AAF" w:rsidRDefault="00037AAF">
            <w:r>
              <w:t>DPA 2018: UK Data Protection Act 2018 (</w:t>
            </w:r>
            <w:hyperlink r:id="rId9" w:history="1">
              <w:r>
                <w:rPr>
                  <w:rStyle w:val="Hyperlink"/>
                </w:rPr>
                <w:t>http://www.legislation.gov.uk/ukpga/2018/12/contents/enacted</w:t>
              </w:r>
            </w:hyperlink>
            <w:r>
              <w:t>)</w:t>
            </w:r>
          </w:p>
          <w:p w14:paraId="47539A5A" w14:textId="014091B4" w:rsidR="00037AAF" w:rsidRPr="00CD006E" w:rsidRDefault="00037AAF">
            <w:pPr>
              <w:rPr>
                <w:lang w:val="it-IT"/>
              </w:rPr>
            </w:pPr>
            <w:r w:rsidRPr="00CD006E">
              <w:rPr>
                <w:lang w:val="it-IT"/>
              </w:rPr>
              <w:t xml:space="preserve">ICO: Information </w:t>
            </w:r>
            <w:proofErr w:type="spellStart"/>
            <w:r w:rsidRPr="00CD006E">
              <w:rPr>
                <w:lang w:val="it-IT"/>
              </w:rPr>
              <w:t>Commissioner</w:t>
            </w:r>
            <w:r w:rsidR="004F4606" w:rsidRPr="00CD006E">
              <w:rPr>
                <w:lang w:val="it-IT"/>
              </w:rPr>
              <w:t>’</w:t>
            </w:r>
            <w:r w:rsidRPr="00CD006E">
              <w:rPr>
                <w:lang w:val="it-IT"/>
              </w:rPr>
              <w:t>s</w:t>
            </w:r>
            <w:proofErr w:type="spellEnd"/>
            <w:r w:rsidRPr="00CD006E">
              <w:rPr>
                <w:lang w:val="it-IT"/>
              </w:rPr>
              <w:t xml:space="preserve"> Office (</w:t>
            </w:r>
            <w:hyperlink r:id="rId10" w:history="1">
              <w:r w:rsidRPr="00CD006E">
                <w:rPr>
                  <w:rStyle w:val="Hyperlink"/>
                  <w:lang w:val="it-IT"/>
                </w:rPr>
                <w:t>https://ico.org.uk/</w:t>
              </w:r>
            </w:hyperlink>
            <w:r w:rsidRPr="00CD006E">
              <w:rPr>
                <w:lang w:val="it-IT"/>
              </w:rPr>
              <w:t>)</w:t>
            </w:r>
          </w:p>
        </w:tc>
      </w:tr>
      <w:tr w:rsidR="00962CF2" w14:paraId="71F451C2" w14:textId="77777777" w:rsidTr="00B771D6">
        <w:tc>
          <w:tcPr>
            <w:tcW w:w="2062" w:type="dxa"/>
          </w:tcPr>
          <w:p w14:paraId="7E75C2CA" w14:textId="77777777" w:rsidR="00962CF2" w:rsidRDefault="006B4A6E">
            <w:r>
              <w:t>Responsibility and governance</w:t>
            </w:r>
          </w:p>
        </w:tc>
        <w:tc>
          <w:tcPr>
            <w:tcW w:w="6954" w:type="dxa"/>
          </w:tcPr>
          <w:p w14:paraId="06BEAD9B" w14:textId="77777777" w:rsidR="00962CF2" w:rsidRDefault="007152F4" w:rsidP="007152F4">
            <w:r>
              <w:t>All volunteers at local and area meeting level who collect and/or process personal data on behalf of their local or area meeting are responsible for compliance with Data Protection legislation.</w:t>
            </w:r>
            <w:r w:rsidR="006A0182">
              <w:t xml:space="preserve"> They should read this policy and familiarise themselves with other relevant polices, and the procedures for processing personal data.</w:t>
            </w:r>
          </w:p>
          <w:p w14:paraId="5C16CE47" w14:textId="4D174261" w:rsidR="006A0182" w:rsidRDefault="006A0182" w:rsidP="006A0182">
            <w:r>
              <w:t xml:space="preserve">Area Meeting trustees are responsible for issuing guidance and advice, updating policies, and dealing with complaints, requests from data subjects, or breaches. They can be contacted </w:t>
            </w:r>
            <w:r w:rsidR="002E4A5F">
              <w:t xml:space="preserve">at </w:t>
            </w:r>
          </w:p>
        </w:tc>
      </w:tr>
      <w:tr w:rsidR="00962CF2" w14:paraId="06FB8E0B" w14:textId="77777777" w:rsidTr="00B771D6">
        <w:tc>
          <w:tcPr>
            <w:tcW w:w="2062" w:type="dxa"/>
          </w:tcPr>
          <w:p w14:paraId="44F162C2" w14:textId="77777777" w:rsidR="00962CF2" w:rsidRDefault="006B4A6E">
            <w:r>
              <w:t>Commitment of the organisation</w:t>
            </w:r>
          </w:p>
        </w:tc>
        <w:tc>
          <w:tcPr>
            <w:tcW w:w="6954" w:type="dxa"/>
          </w:tcPr>
          <w:p w14:paraId="7B6679E0" w14:textId="77777777" w:rsidR="004052DC" w:rsidRDefault="006B4A6E">
            <w:r>
              <w:t xml:space="preserve">This Area Meeting is committed to processing personal data in accordance with the </w:t>
            </w:r>
            <w:r w:rsidR="00037AAF">
              <w:t>GDPR</w:t>
            </w:r>
            <w:r>
              <w:t xml:space="preserve"> and </w:t>
            </w:r>
            <w:r w:rsidR="00037AAF">
              <w:t xml:space="preserve">DPA </w:t>
            </w:r>
            <w:r>
              <w:t>2018.</w:t>
            </w:r>
          </w:p>
          <w:p w14:paraId="255E7891" w14:textId="77777777" w:rsidR="006B4A6E" w:rsidRDefault="006B4A6E">
            <w:r>
              <w:t>This includes abiding by the 7 data principles:</w:t>
            </w:r>
          </w:p>
          <w:p w14:paraId="3444259F" w14:textId="77777777" w:rsidR="006B4A6E" w:rsidRDefault="006B4A6E" w:rsidP="006B4A6E">
            <w:r>
              <w:t xml:space="preserve">Personal data shall be: </w:t>
            </w:r>
          </w:p>
          <w:p w14:paraId="35642186" w14:textId="77777777" w:rsidR="006B4A6E" w:rsidRDefault="006B4A6E" w:rsidP="004052DC">
            <w:pPr>
              <w:pStyle w:val="ListParagraph"/>
              <w:numPr>
                <w:ilvl w:val="0"/>
                <w:numId w:val="2"/>
              </w:numPr>
            </w:pPr>
            <w:r>
              <w:t>processed lawfully, fairly and in a transparent manner in relation to the data subject (‘lawfulness, fairness and transparency’);</w:t>
            </w:r>
          </w:p>
          <w:p w14:paraId="5D66E692" w14:textId="77777777" w:rsidR="006B4A6E" w:rsidRDefault="006B4A6E" w:rsidP="004052DC">
            <w:pPr>
              <w:pStyle w:val="ListParagraph"/>
              <w:numPr>
                <w:ilvl w:val="0"/>
                <w:numId w:val="2"/>
              </w:numPr>
            </w:pPr>
            <w:r>
              <w:t xml:space="preserve">collected for specified, explicit and legitimate purposes and not further processed in a manner that </w:t>
            </w:r>
            <w:r>
              <w:lastRenderedPageBreak/>
              <w:t>is incompatible with those purposes; further processing for archiving purposes in the public interest, scientific or historical research purposes or statistical purposes shall, in accordance with Article 89(1), not be considered to be incompatible with the initial purposes (‘purpose limitation’);</w:t>
            </w:r>
          </w:p>
          <w:p w14:paraId="4FA86786" w14:textId="77777777" w:rsidR="006B4A6E" w:rsidRDefault="006B4A6E" w:rsidP="004052DC">
            <w:pPr>
              <w:pStyle w:val="ListParagraph"/>
              <w:numPr>
                <w:ilvl w:val="0"/>
                <w:numId w:val="2"/>
              </w:numPr>
            </w:pPr>
            <w:r>
              <w:t>adequate, relevant and limited to what is necessary in relation to the purposes for which they are processed (‘data minimisation’);</w:t>
            </w:r>
          </w:p>
          <w:p w14:paraId="0A985C85" w14:textId="77777777" w:rsidR="006B4A6E" w:rsidRDefault="006B4A6E" w:rsidP="004052DC">
            <w:pPr>
              <w:pStyle w:val="ListParagraph"/>
              <w:numPr>
                <w:ilvl w:val="0"/>
                <w:numId w:val="2"/>
              </w:numPr>
            </w:pPr>
            <w:r>
              <w:t>accurate and, where necessary, kept up to date; every reasonable step must be taken to ensure that personal data that are inaccurate, having regard to the purposes for which they are processed, are erased or rectified without delay (‘accuracy’);</w:t>
            </w:r>
          </w:p>
          <w:p w14:paraId="12220FD1" w14:textId="77777777" w:rsidR="006B4A6E" w:rsidRDefault="006B4A6E" w:rsidP="004052DC">
            <w:pPr>
              <w:pStyle w:val="ListParagraph"/>
              <w:numPr>
                <w:ilvl w:val="0"/>
                <w:numId w:val="2"/>
              </w:numPr>
            </w:pPr>
            <w: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Article 89(1) subject to implementation of the appropriate technical and organisational measures required by this Regulation in order to safeguard the rights and freedoms of the data subject (‘storage limitation’);</w:t>
            </w:r>
          </w:p>
          <w:p w14:paraId="3FC592ED" w14:textId="77777777" w:rsidR="006B4A6E" w:rsidRDefault="006B4A6E" w:rsidP="004052DC">
            <w:pPr>
              <w:pStyle w:val="ListParagraph"/>
              <w:numPr>
                <w:ilvl w:val="0"/>
                <w:numId w:val="2"/>
              </w:numPr>
            </w:pPr>
            <w: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p>
          <w:p w14:paraId="19A26B50" w14:textId="77777777" w:rsidR="006B4A6E" w:rsidRDefault="006B4A6E" w:rsidP="004052DC">
            <w:pPr>
              <w:pStyle w:val="ListParagraph"/>
              <w:numPr>
                <w:ilvl w:val="0"/>
                <w:numId w:val="2"/>
              </w:numPr>
            </w:pPr>
            <w:r w:rsidRPr="006B4A6E">
              <w:t>The controller shall be responsible for, and be able to demonstrate compliance</w:t>
            </w:r>
            <w:r>
              <w:t xml:space="preserve"> with the above principles.</w:t>
            </w:r>
          </w:p>
        </w:tc>
      </w:tr>
      <w:tr w:rsidR="00962CF2" w14:paraId="06029552" w14:textId="77777777" w:rsidTr="00B771D6">
        <w:tc>
          <w:tcPr>
            <w:tcW w:w="2062" w:type="dxa"/>
          </w:tcPr>
          <w:p w14:paraId="7B84F563" w14:textId="77777777" w:rsidR="00962CF2" w:rsidRDefault="004052DC">
            <w:r>
              <w:lastRenderedPageBreak/>
              <w:t>Personal data collected by the meeting</w:t>
            </w:r>
          </w:p>
        </w:tc>
        <w:tc>
          <w:tcPr>
            <w:tcW w:w="6954" w:type="dxa"/>
          </w:tcPr>
          <w:p w14:paraId="36C6DC6A" w14:textId="797F0871" w:rsidR="00962CF2" w:rsidRDefault="004052DC">
            <w:r>
              <w:t>Members</w:t>
            </w:r>
            <w:r w:rsidR="001A596C">
              <w:t>;</w:t>
            </w:r>
            <w:r>
              <w:t xml:space="preserve"> attenders</w:t>
            </w:r>
            <w:r w:rsidR="001A596C">
              <w:t>;</w:t>
            </w:r>
            <w:r>
              <w:t xml:space="preserve"> enquirers</w:t>
            </w:r>
            <w:r w:rsidR="001A596C">
              <w:t>;</w:t>
            </w:r>
            <w:r>
              <w:t xml:space="preserve"> </w:t>
            </w:r>
            <w:r w:rsidR="001A596C">
              <w:t>external</w:t>
            </w:r>
            <w:r w:rsidR="00386197">
              <w:t xml:space="preserve"> </w:t>
            </w:r>
            <w:r>
              <w:t xml:space="preserve">room </w:t>
            </w:r>
            <w:r w:rsidR="00386197">
              <w:t>hirer</w:t>
            </w:r>
            <w:r w:rsidR="001A596C">
              <w:t>s;</w:t>
            </w:r>
            <w:r w:rsidR="00386197">
              <w:br/>
            </w:r>
            <w:r>
              <w:t>event attendees</w:t>
            </w:r>
            <w:r w:rsidR="001A596C">
              <w:t>;</w:t>
            </w:r>
            <w:r>
              <w:t xml:space="preserve"> donors (if not members/attenders)</w:t>
            </w:r>
            <w:r w:rsidR="001A596C">
              <w:t>;</w:t>
            </w:r>
            <w:r>
              <w:t xml:space="preserve"> employees</w:t>
            </w:r>
            <w:r w:rsidR="001A596C">
              <w:t>; contractors;</w:t>
            </w:r>
            <w:r>
              <w:t xml:space="preserve"> volunteers</w:t>
            </w:r>
            <w:r w:rsidR="001A596C">
              <w:t>.</w:t>
            </w:r>
          </w:p>
        </w:tc>
      </w:tr>
      <w:tr w:rsidR="004052DC" w14:paraId="2F6379D6" w14:textId="77777777" w:rsidTr="00B771D6">
        <w:tc>
          <w:tcPr>
            <w:tcW w:w="2062" w:type="dxa"/>
          </w:tcPr>
          <w:p w14:paraId="2C2710DB" w14:textId="77777777" w:rsidR="004052DC" w:rsidRDefault="004052DC">
            <w:r>
              <w:t>Purposes for which you collect personal data</w:t>
            </w:r>
          </w:p>
        </w:tc>
        <w:tc>
          <w:tcPr>
            <w:tcW w:w="6954" w:type="dxa"/>
          </w:tcPr>
          <w:p w14:paraId="71BE5F86" w14:textId="23811B9B" w:rsidR="004052DC" w:rsidRDefault="004052DC">
            <w:r>
              <w:t>Legitimate interests</w:t>
            </w:r>
            <w:r w:rsidR="001A596C">
              <w:t xml:space="preserve"> (with consent);</w:t>
            </w:r>
            <w:r>
              <w:t xml:space="preserve"> performance of contract</w:t>
            </w:r>
            <w:r w:rsidR="001A596C">
              <w:t>.</w:t>
            </w:r>
          </w:p>
        </w:tc>
      </w:tr>
      <w:tr w:rsidR="004052DC" w14:paraId="7E960316" w14:textId="77777777" w:rsidTr="00B771D6">
        <w:tc>
          <w:tcPr>
            <w:tcW w:w="2062" w:type="dxa"/>
          </w:tcPr>
          <w:p w14:paraId="1645DEC9" w14:textId="77777777" w:rsidR="004052DC" w:rsidRDefault="004052DC">
            <w:r>
              <w:lastRenderedPageBreak/>
              <w:t>How will you comply with the data principles</w:t>
            </w:r>
          </w:p>
        </w:tc>
        <w:tc>
          <w:tcPr>
            <w:tcW w:w="6954" w:type="dxa"/>
          </w:tcPr>
          <w:p w14:paraId="118088E8" w14:textId="0FC888B1" w:rsidR="004052DC" w:rsidRPr="006A0182" w:rsidRDefault="001A596C">
            <w:pPr>
              <w:rPr>
                <w:i/>
              </w:rPr>
            </w:pPr>
            <w:r>
              <w:t xml:space="preserve">The area meeting will comply with the seven data principles of the GDPR and DPA 2018 (see above) and with the terms of its own Privacy Policy </w:t>
            </w:r>
            <w:r w:rsidRPr="001A596C">
              <w:rPr>
                <w:i/>
                <w:iCs/>
              </w:rPr>
              <w:t>(copy attached)</w:t>
            </w:r>
            <w:r>
              <w:t>.</w:t>
            </w:r>
          </w:p>
          <w:p w14:paraId="0B10F57D" w14:textId="105A4EB2" w:rsidR="004052DC" w:rsidRPr="006A0182" w:rsidRDefault="001A596C">
            <w:pPr>
              <w:rPr>
                <w:i/>
              </w:rPr>
            </w:pPr>
            <w:r>
              <w:t>Consen</w:t>
            </w:r>
            <w:r w:rsidR="009F0435">
              <w:t>t</w:t>
            </w:r>
            <w:r>
              <w:t xml:space="preserve"> to record, maintain and internally publish personal data is obtained from members and attenders by means of a Data Consent Form. Without a signed copy of this form an individual’s personal data will not be </w:t>
            </w:r>
            <w:r w:rsidR="00B771D6">
              <w:t>published in any form.</w:t>
            </w:r>
          </w:p>
          <w:p w14:paraId="24A681A5" w14:textId="452F8183" w:rsidR="004052DC" w:rsidRPr="0055376A" w:rsidRDefault="00E168C2">
            <w:r>
              <w:t>C</w:t>
            </w:r>
            <w:r w:rsidR="0055376A">
              <w:t xml:space="preserve">opies of lists of members and attenders </w:t>
            </w:r>
            <w:r>
              <w:t>are held electronically with password protection.  Printed lists are held by individual members of the area meeting to enable contact between them.  Printed lists contain a statement informing members of the need for data security.</w:t>
            </w:r>
          </w:p>
          <w:p w14:paraId="22C86A7D" w14:textId="345B66C0" w:rsidR="004052DC" w:rsidRPr="00E168C2" w:rsidRDefault="00E168C2">
            <w:pPr>
              <w:rPr>
                <w:i/>
              </w:rPr>
            </w:pPr>
            <w:r w:rsidRPr="00E168C2">
              <w:t xml:space="preserve">Updates </w:t>
            </w:r>
            <w:r>
              <w:t>to data held are achieved by contact with responsible individuals in each local meeting, and from minutes of business meetings where membership matters are reported and discussed.</w:t>
            </w:r>
          </w:p>
          <w:p w14:paraId="7DAA0530" w14:textId="3B5B0391" w:rsidR="004052DC" w:rsidRDefault="00E168C2">
            <w:r>
              <w:t xml:space="preserve">Past lists are maintained by the area meeting with the same level of security as with current lists.  The area meeting has a policy of </w:t>
            </w:r>
            <w:r w:rsidR="00293180">
              <w:t>providing</w:t>
            </w:r>
            <w:r>
              <w:t xml:space="preserve"> past lists to the County Archives (Hertfordshire Archives and Local Studies) </w:t>
            </w:r>
            <w:r w:rsidR="00293180">
              <w:t>where strict rules on access to individuals’ data is maintained.</w:t>
            </w:r>
          </w:p>
        </w:tc>
      </w:tr>
      <w:tr w:rsidR="004052DC" w14:paraId="606A93C8" w14:textId="77777777" w:rsidTr="00B771D6">
        <w:tc>
          <w:tcPr>
            <w:tcW w:w="2062" w:type="dxa"/>
          </w:tcPr>
          <w:p w14:paraId="5C015E8C" w14:textId="77777777" w:rsidR="004052DC" w:rsidRDefault="004052DC">
            <w:r>
              <w:t>Breach</w:t>
            </w:r>
          </w:p>
        </w:tc>
        <w:tc>
          <w:tcPr>
            <w:tcW w:w="6954" w:type="dxa"/>
          </w:tcPr>
          <w:p w14:paraId="3B950EEE" w14:textId="3D513C33" w:rsidR="00122B97" w:rsidRDefault="00122B97">
            <w:r>
              <w:t>In the event of a data breach (accidental or unlawful sharing, theft, loss, access to personal data), we will assess the risk to the data subjects involved</w:t>
            </w:r>
            <w:r w:rsidR="00B771D6">
              <w:t>, inform them of the data breach</w:t>
            </w:r>
            <w:r>
              <w:t xml:space="preserve"> and</w:t>
            </w:r>
            <w:r w:rsidR="00B771D6">
              <w:t>,</w:t>
            </w:r>
            <w:r>
              <w:t xml:space="preserve"> if necessary</w:t>
            </w:r>
            <w:r w:rsidR="00B771D6">
              <w:t>,</w:t>
            </w:r>
            <w:r>
              <w:t xml:space="preserve"> report the breach to the ICO.</w:t>
            </w:r>
          </w:p>
        </w:tc>
      </w:tr>
      <w:tr w:rsidR="004052DC" w14:paraId="22EDD134" w14:textId="77777777" w:rsidTr="00B771D6">
        <w:tc>
          <w:tcPr>
            <w:tcW w:w="2062" w:type="dxa"/>
          </w:tcPr>
          <w:p w14:paraId="73B438E5" w14:textId="77777777" w:rsidR="004052DC" w:rsidRDefault="004052DC">
            <w:r>
              <w:t>Rights</w:t>
            </w:r>
          </w:p>
        </w:tc>
        <w:tc>
          <w:tcPr>
            <w:tcW w:w="6954" w:type="dxa"/>
          </w:tcPr>
          <w:p w14:paraId="63F78FD7" w14:textId="71345820" w:rsidR="004052DC" w:rsidRDefault="00122B97">
            <w:r>
              <w:t>We aim to uphold data subject</w:t>
            </w:r>
            <w:r w:rsidR="00B771D6">
              <w:t>s’</w:t>
            </w:r>
            <w:r>
              <w:t xml:space="preserve"> rights over their data in accordance with GDPR. More information on data subjects</w:t>
            </w:r>
            <w:r w:rsidR="00B771D6">
              <w:t>’</w:t>
            </w:r>
            <w:r>
              <w:t xml:space="preserve"> rights can be found here: </w:t>
            </w:r>
            <w:hyperlink r:id="rId11" w:history="1">
              <w:r w:rsidR="00235132" w:rsidRPr="001640D9">
                <w:rPr>
                  <w:rStyle w:val="Hyperlink"/>
                </w:rPr>
                <w:t>https://ico.org.uk/for-organisations/guide-to-data-protection/guide-to-the-general-data-protection-regulation-gdpr/individual-rights/</w:t>
              </w:r>
            </w:hyperlink>
          </w:p>
          <w:p w14:paraId="2B56259D" w14:textId="13630F68" w:rsidR="00235132" w:rsidRDefault="00B771D6">
            <w:r>
              <w:t>Anyone who wishes to examine their personal data held by the area meeting may do so on application to area meeting trustees.</w:t>
            </w:r>
          </w:p>
        </w:tc>
      </w:tr>
      <w:tr w:rsidR="004052DC" w14:paraId="44463454" w14:textId="77777777" w:rsidTr="00B771D6">
        <w:tc>
          <w:tcPr>
            <w:tcW w:w="2062" w:type="dxa"/>
          </w:tcPr>
          <w:p w14:paraId="187F7137" w14:textId="77777777" w:rsidR="004052DC" w:rsidRDefault="004052DC">
            <w:r>
              <w:t>Complaints</w:t>
            </w:r>
          </w:p>
        </w:tc>
        <w:tc>
          <w:tcPr>
            <w:tcW w:w="6954" w:type="dxa"/>
          </w:tcPr>
          <w:p w14:paraId="6C26FCBB" w14:textId="19850CDB" w:rsidR="004052DC" w:rsidRPr="004F4606" w:rsidRDefault="00122B97">
            <w:r>
              <w:t xml:space="preserve">Anyone who wishes to complain about how the </w:t>
            </w:r>
            <w:r w:rsidR="000F1B7C">
              <w:t xml:space="preserve">area </w:t>
            </w:r>
            <w:r>
              <w:t xml:space="preserve">meeting has handled their data, </w:t>
            </w:r>
            <w:r w:rsidR="004F4606">
              <w:t>should</w:t>
            </w:r>
            <w:r>
              <w:t xml:space="preserve"> contac</w:t>
            </w:r>
            <w:r w:rsidRPr="00B771D6">
              <w:t xml:space="preserve">t </w:t>
            </w:r>
            <w:r w:rsidR="00B771D6" w:rsidRPr="00B771D6">
              <w:t>area meeting trustees</w:t>
            </w:r>
            <w:r w:rsidR="004F4606">
              <w:t xml:space="preserve"> (</w:t>
            </w:r>
            <w:hyperlink r:id="rId12" w:history="1">
              <w:r w:rsidR="004F4606" w:rsidRPr="0055376A">
                <w:rPr>
                  <w:rStyle w:val="Hyperlink"/>
                </w:rPr>
                <w:t>dataprotection@hhq.org.uk</w:t>
              </w:r>
            </w:hyperlink>
            <w:r w:rsidR="004F4606" w:rsidRPr="004F4606">
              <w:t>)</w:t>
            </w:r>
            <w:r w:rsidRPr="004F4606">
              <w:t>.</w:t>
            </w:r>
          </w:p>
          <w:p w14:paraId="2EBA8327" w14:textId="23C3FA84" w:rsidR="00122B97" w:rsidRPr="00122B97" w:rsidRDefault="00122B97">
            <w:r>
              <w:t>If they</w:t>
            </w:r>
            <w:r w:rsidR="00037AAF">
              <w:t xml:space="preserve"> wish to take the complaint further they should contact the </w:t>
            </w:r>
            <w:r w:rsidR="004F4606">
              <w:t>Information Commissioner’s Office (</w:t>
            </w:r>
            <w:hyperlink r:id="rId13" w:history="1">
              <w:r w:rsidR="004F4606">
                <w:rPr>
                  <w:rStyle w:val="Hyperlink"/>
                </w:rPr>
                <w:t>https://ico.org.uk/</w:t>
              </w:r>
            </w:hyperlink>
            <w:r w:rsidR="004F4606">
              <w:t>)</w:t>
            </w:r>
            <w:r w:rsidR="00037AAF">
              <w:t>.</w:t>
            </w:r>
          </w:p>
        </w:tc>
      </w:tr>
    </w:tbl>
    <w:p w14:paraId="50ED857D" w14:textId="77777777" w:rsidR="00A16B87" w:rsidRDefault="00A16B87"/>
    <w:sectPr w:rsidR="00A16B87">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2E9FE" w14:textId="77777777" w:rsidR="008C3C45" w:rsidRDefault="008C3C45" w:rsidP="00962CF2">
      <w:pPr>
        <w:spacing w:after="0" w:line="240" w:lineRule="auto"/>
      </w:pPr>
      <w:r>
        <w:separator/>
      </w:r>
    </w:p>
  </w:endnote>
  <w:endnote w:type="continuationSeparator" w:id="0">
    <w:p w14:paraId="74E59249" w14:textId="77777777" w:rsidR="008C3C45" w:rsidRDefault="008C3C45" w:rsidP="0096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A98D8" w14:textId="77777777" w:rsidR="008C3C45" w:rsidRDefault="008C3C45" w:rsidP="00962CF2">
      <w:pPr>
        <w:spacing w:after="0" w:line="240" w:lineRule="auto"/>
      </w:pPr>
      <w:r>
        <w:separator/>
      </w:r>
    </w:p>
  </w:footnote>
  <w:footnote w:type="continuationSeparator" w:id="0">
    <w:p w14:paraId="03D13F7D" w14:textId="77777777" w:rsidR="008C3C45" w:rsidRDefault="008C3C45" w:rsidP="00962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1D14" w14:textId="2032884F" w:rsidR="00962CF2" w:rsidRDefault="00962CF2">
    <w:pPr>
      <w:pStyle w:val="Header"/>
      <w:rPr>
        <w:b/>
        <w:bCs w:val="0"/>
      </w:rPr>
    </w:pPr>
    <w:r w:rsidRPr="0079572A">
      <w:rPr>
        <w:b/>
        <w:bCs w:val="0"/>
      </w:rPr>
      <w:t>Data Protection Polic</w:t>
    </w:r>
    <w:r w:rsidR="0079572A" w:rsidRPr="0079572A">
      <w:rPr>
        <w:b/>
        <w:bCs w:val="0"/>
      </w:rPr>
      <w:t>y of Hertford &amp; Hitchin Area Meeting (internal use only)</w:t>
    </w:r>
  </w:p>
  <w:p w14:paraId="333D001F" w14:textId="386CA3B0" w:rsidR="0079572A" w:rsidRPr="0079572A" w:rsidRDefault="002E4A5F" w:rsidP="0079572A">
    <w:pPr>
      <w:pStyle w:val="Header"/>
      <w:spacing w:before="120"/>
      <w:rPr>
        <w:i/>
        <w:iCs/>
      </w:rPr>
    </w:pPr>
    <w:r>
      <w:rPr>
        <w:i/>
        <w:iCs/>
      </w:rPr>
      <w:t>Fina</w:t>
    </w:r>
    <w:r w:rsidR="0079572A" w:rsidRPr="0079572A">
      <w:rPr>
        <w:i/>
        <w:iCs/>
      </w:rPr>
      <w:t xml:space="preserve">l Draft, </w:t>
    </w:r>
    <w:r>
      <w:rPr>
        <w:i/>
        <w:iCs/>
      </w:rPr>
      <w:t>January 2024</w:t>
    </w:r>
  </w:p>
  <w:p w14:paraId="415ED59A" w14:textId="77777777" w:rsidR="00962CF2" w:rsidRDefault="00962C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Courier New" w:hAnsi="Courier New" w:cs="Courier New"/>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676B87"/>
    <w:multiLevelType w:val="hybridMultilevel"/>
    <w:tmpl w:val="374E3C78"/>
    <w:lvl w:ilvl="0" w:tplc="65FC09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4529217">
    <w:abstractNumId w:val="0"/>
  </w:num>
  <w:num w:numId="2" w16cid:durableId="1476605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CF2"/>
    <w:rsid w:val="000031E4"/>
    <w:rsid w:val="000069F9"/>
    <w:rsid w:val="00037AAF"/>
    <w:rsid w:val="00057F95"/>
    <w:rsid w:val="000A4AD5"/>
    <w:rsid w:val="000A52CA"/>
    <w:rsid w:val="000F1B7C"/>
    <w:rsid w:val="00116865"/>
    <w:rsid w:val="00121718"/>
    <w:rsid w:val="00122B97"/>
    <w:rsid w:val="00166F4D"/>
    <w:rsid w:val="00182E36"/>
    <w:rsid w:val="00193AC8"/>
    <w:rsid w:val="001A596C"/>
    <w:rsid w:val="00235132"/>
    <w:rsid w:val="00247CDF"/>
    <w:rsid w:val="00286120"/>
    <w:rsid w:val="00293180"/>
    <w:rsid w:val="002E4A5F"/>
    <w:rsid w:val="003677A0"/>
    <w:rsid w:val="00386197"/>
    <w:rsid w:val="003A1B46"/>
    <w:rsid w:val="003B78AA"/>
    <w:rsid w:val="003D1F92"/>
    <w:rsid w:val="003E2BE6"/>
    <w:rsid w:val="004052DC"/>
    <w:rsid w:val="00405F4C"/>
    <w:rsid w:val="00453AB7"/>
    <w:rsid w:val="00471011"/>
    <w:rsid w:val="004F4606"/>
    <w:rsid w:val="005351CC"/>
    <w:rsid w:val="0055376A"/>
    <w:rsid w:val="00593757"/>
    <w:rsid w:val="005A09C9"/>
    <w:rsid w:val="005D2BD5"/>
    <w:rsid w:val="005E16FE"/>
    <w:rsid w:val="005E3904"/>
    <w:rsid w:val="00621A9E"/>
    <w:rsid w:val="006313C5"/>
    <w:rsid w:val="00671C07"/>
    <w:rsid w:val="006A0182"/>
    <w:rsid w:val="006B4A6E"/>
    <w:rsid w:val="006D4983"/>
    <w:rsid w:val="007152F4"/>
    <w:rsid w:val="00782EDB"/>
    <w:rsid w:val="007908DA"/>
    <w:rsid w:val="0079572A"/>
    <w:rsid w:val="007A306B"/>
    <w:rsid w:val="007C4B5F"/>
    <w:rsid w:val="007C55D5"/>
    <w:rsid w:val="007D354F"/>
    <w:rsid w:val="007D6567"/>
    <w:rsid w:val="007E16DE"/>
    <w:rsid w:val="008449DE"/>
    <w:rsid w:val="008C3C45"/>
    <w:rsid w:val="008E5165"/>
    <w:rsid w:val="008E5519"/>
    <w:rsid w:val="00900A9D"/>
    <w:rsid w:val="00962CF2"/>
    <w:rsid w:val="00966A7E"/>
    <w:rsid w:val="0098084A"/>
    <w:rsid w:val="00981699"/>
    <w:rsid w:val="009C5205"/>
    <w:rsid w:val="009D6B16"/>
    <w:rsid w:val="009F0435"/>
    <w:rsid w:val="009F1A61"/>
    <w:rsid w:val="00A03B15"/>
    <w:rsid w:val="00A16B87"/>
    <w:rsid w:val="00A711E4"/>
    <w:rsid w:val="00A91F91"/>
    <w:rsid w:val="00AD1911"/>
    <w:rsid w:val="00AE283D"/>
    <w:rsid w:val="00AE7781"/>
    <w:rsid w:val="00B035AE"/>
    <w:rsid w:val="00B20A67"/>
    <w:rsid w:val="00B221AE"/>
    <w:rsid w:val="00B264E4"/>
    <w:rsid w:val="00B771D6"/>
    <w:rsid w:val="00BA7337"/>
    <w:rsid w:val="00BB42FC"/>
    <w:rsid w:val="00BE33AD"/>
    <w:rsid w:val="00C0330C"/>
    <w:rsid w:val="00C422B6"/>
    <w:rsid w:val="00C624AA"/>
    <w:rsid w:val="00C77C5B"/>
    <w:rsid w:val="00CB4701"/>
    <w:rsid w:val="00CB785D"/>
    <w:rsid w:val="00CC1265"/>
    <w:rsid w:val="00CD006E"/>
    <w:rsid w:val="00CF76A5"/>
    <w:rsid w:val="00D8556E"/>
    <w:rsid w:val="00DE66D8"/>
    <w:rsid w:val="00E134A2"/>
    <w:rsid w:val="00E168C2"/>
    <w:rsid w:val="00E45284"/>
    <w:rsid w:val="00EA3F7A"/>
    <w:rsid w:val="00F1337B"/>
    <w:rsid w:val="00F9091E"/>
    <w:rsid w:val="00F94219"/>
    <w:rsid w:val="00F978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D07BA"/>
  <w15:chartTrackingRefBased/>
  <w15:docId w15:val="{3BD54E39-DFE6-47EA-BF8B-BE856471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heme="majorBidi"/>
        <w:bCs/>
        <w:sz w:val="24"/>
        <w:szCs w:val="26"/>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06B"/>
    <w:pPr>
      <w:spacing w:after="200" w:line="276" w:lineRule="auto"/>
    </w:pPr>
  </w:style>
  <w:style w:type="paragraph" w:styleId="Heading1">
    <w:name w:val="heading 1"/>
    <w:basedOn w:val="Normal"/>
    <w:next w:val="Normal"/>
    <w:link w:val="Heading1Char"/>
    <w:uiPriority w:val="9"/>
    <w:qFormat/>
    <w:rsid w:val="00471011"/>
    <w:pPr>
      <w:keepNext/>
      <w:keepLines/>
      <w:spacing w:before="240" w:after="0"/>
      <w:outlineLvl w:val="0"/>
    </w:pPr>
    <w:rPr>
      <w:rFonts w:eastAsia="Times New Roman"/>
      <w:b/>
      <w:bCs w:val="0"/>
      <w:sz w:val="32"/>
      <w:szCs w:val="32"/>
    </w:rPr>
  </w:style>
  <w:style w:type="paragraph" w:styleId="Heading2">
    <w:name w:val="heading 2"/>
    <w:basedOn w:val="Normal"/>
    <w:next w:val="Normal"/>
    <w:link w:val="Heading2Char"/>
    <w:uiPriority w:val="9"/>
    <w:unhideWhenUsed/>
    <w:qFormat/>
    <w:rsid w:val="009D6B16"/>
    <w:pPr>
      <w:keepNext/>
      <w:spacing w:before="240" w:after="60" w:line="240" w:lineRule="auto"/>
      <w:outlineLvl w:val="1"/>
    </w:pPr>
    <w:rPr>
      <w:rFonts w:eastAsia="Times New Roman" w:cstheme="minorBidi"/>
      <w:b/>
      <w:bCs w:val="0"/>
      <w:iCs/>
      <w:sz w:val="28"/>
      <w:szCs w:val="28"/>
    </w:rPr>
  </w:style>
  <w:style w:type="paragraph" w:styleId="Heading3">
    <w:name w:val="heading 3"/>
    <w:basedOn w:val="Normal"/>
    <w:next w:val="Normal"/>
    <w:link w:val="Heading3Char"/>
    <w:uiPriority w:val="9"/>
    <w:semiHidden/>
    <w:unhideWhenUsed/>
    <w:qFormat/>
    <w:rsid w:val="003B78AA"/>
    <w:pPr>
      <w:keepNext/>
      <w:spacing w:before="240" w:after="60"/>
      <w:outlineLvl w:val="2"/>
    </w:pPr>
    <w:rPr>
      <w:rFonts w:eastAsiaTheme="majorEastAsia"/>
      <w:b/>
      <w:bCs w:val="0"/>
    </w:rPr>
  </w:style>
  <w:style w:type="paragraph" w:styleId="Heading4">
    <w:name w:val="heading 4"/>
    <w:basedOn w:val="Normal"/>
    <w:next w:val="Normal"/>
    <w:link w:val="Heading4Char"/>
    <w:uiPriority w:val="9"/>
    <w:semiHidden/>
    <w:unhideWhenUsed/>
    <w:qFormat/>
    <w:rsid w:val="008E5519"/>
    <w:pPr>
      <w:keepNext/>
      <w:keepLines/>
      <w:spacing w:before="40" w:after="0"/>
      <w:outlineLvl w:val="3"/>
    </w:pPr>
    <w:rPr>
      <w:rFonts w:eastAsiaTheme="majorEastAsia"/>
      <w:iCs/>
      <w:u w:val="single"/>
    </w:rPr>
  </w:style>
  <w:style w:type="paragraph" w:styleId="Heading5">
    <w:name w:val="heading 5"/>
    <w:basedOn w:val="Normal"/>
    <w:next w:val="Normal"/>
    <w:link w:val="Heading5Char"/>
    <w:uiPriority w:val="9"/>
    <w:semiHidden/>
    <w:unhideWhenUsed/>
    <w:qFormat/>
    <w:rsid w:val="008E5519"/>
    <w:pPr>
      <w:keepNext/>
      <w:keepLines/>
      <w:spacing w:before="40" w:after="0"/>
      <w:outlineLvl w:val="4"/>
    </w:pPr>
    <w:rPr>
      <w:rFonts w:eastAsiaTheme="majorEastAsia"/>
      <w:i/>
    </w:rPr>
  </w:style>
  <w:style w:type="paragraph" w:styleId="Heading6">
    <w:name w:val="heading 6"/>
    <w:basedOn w:val="Normal"/>
    <w:next w:val="Normal"/>
    <w:link w:val="Heading6Char"/>
    <w:uiPriority w:val="9"/>
    <w:semiHidden/>
    <w:unhideWhenUsed/>
    <w:qFormat/>
    <w:rsid w:val="008E5519"/>
    <w:pPr>
      <w:keepNext/>
      <w:keepLines/>
      <w:spacing w:before="40" w:after="0"/>
      <w:outlineLvl w:val="5"/>
    </w:pPr>
    <w:rPr>
      <w:rFonts w:eastAsiaTheme="majorEastAsia"/>
    </w:rPr>
  </w:style>
  <w:style w:type="paragraph" w:styleId="Heading7">
    <w:name w:val="heading 7"/>
    <w:basedOn w:val="Normal"/>
    <w:next w:val="Normal"/>
    <w:link w:val="Heading7Char"/>
    <w:uiPriority w:val="9"/>
    <w:semiHidden/>
    <w:unhideWhenUsed/>
    <w:qFormat/>
    <w:rsid w:val="008E5519"/>
    <w:pPr>
      <w:keepNext/>
      <w:keepLines/>
      <w:spacing w:before="40" w:after="0"/>
      <w:outlineLvl w:val="6"/>
    </w:pPr>
    <w:rPr>
      <w:rFonts w:eastAsiaTheme="majorEastAsia"/>
      <w:i/>
      <w:iCs/>
    </w:rPr>
  </w:style>
  <w:style w:type="paragraph" w:styleId="Heading8">
    <w:name w:val="heading 8"/>
    <w:basedOn w:val="Normal"/>
    <w:next w:val="Normal"/>
    <w:link w:val="Heading8Char"/>
    <w:uiPriority w:val="9"/>
    <w:semiHidden/>
    <w:unhideWhenUsed/>
    <w:qFormat/>
    <w:rsid w:val="008E5519"/>
    <w:pPr>
      <w:keepNext/>
      <w:keepLines/>
      <w:spacing w:before="40" w:after="0"/>
      <w:outlineLvl w:val="7"/>
    </w:pPr>
    <w:rPr>
      <w:rFonts w:eastAsiaTheme="majorEastAsia"/>
      <w:sz w:val="21"/>
      <w:szCs w:val="21"/>
    </w:rPr>
  </w:style>
  <w:style w:type="paragraph" w:styleId="Heading9">
    <w:name w:val="heading 9"/>
    <w:basedOn w:val="Normal"/>
    <w:next w:val="Normal"/>
    <w:link w:val="Heading9Char"/>
    <w:uiPriority w:val="9"/>
    <w:semiHidden/>
    <w:unhideWhenUsed/>
    <w:qFormat/>
    <w:rsid w:val="008E5519"/>
    <w:pPr>
      <w:keepNext/>
      <w:keepLines/>
      <w:spacing w:before="40" w:after="0"/>
      <w:outlineLvl w:val="8"/>
    </w:pPr>
    <w:rPr>
      <w:rFonts w:eastAsiaTheme="majorEastAsia"/>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71011"/>
    <w:rPr>
      <w:rFonts w:eastAsia="Times New Roman"/>
      <w:b/>
      <w:bCs w:val="0"/>
      <w:sz w:val="32"/>
      <w:szCs w:val="32"/>
    </w:rPr>
  </w:style>
  <w:style w:type="character" w:customStyle="1" w:styleId="Heading2Char">
    <w:name w:val="Heading 2 Char"/>
    <w:link w:val="Heading2"/>
    <w:uiPriority w:val="9"/>
    <w:rsid w:val="009D6B16"/>
    <w:rPr>
      <w:rFonts w:ascii="Arial" w:eastAsia="Times New Roman" w:hAnsi="Arial"/>
      <w:b/>
      <w:bCs w:val="0"/>
      <w:iCs/>
      <w:sz w:val="28"/>
      <w:szCs w:val="28"/>
    </w:rPr>
  </w:style>
  <w:style w:type="character" w:customStyle="1" w:styleId="Heading3Char">
    <w:name w:val="Heading 3 Char"/>
    <w:basedOn w:val="DefaultParagraphFont"/>
    <w:link w:val="Heading3"/>
    <w:uiPriority w:val="9"/>
    <w:semiHidden/>
    <w:rsid w:val="003B78AA"/>
    <w:rPr>
      <w:rFonts w:ascii="Arial" w:eastAsiaTheme="majorEastAsia" w:hAnsi="Arial" w:cstheme="majorBidi"/>
      <w:b/>
      <w:bCs w:val="0"/>
      <w:sz w:val="24"/>
      <w:szCs w:val="26"/>
    </w:rPr>
  </w:style>
  <w:style w:type="paragraph" w:styleId="BodyText">
    <w:name w:val="Body Text"/>
    <w:basedOn w:val="Normal"/>
    <w:link w:val="BodyTextChar"/>
    <w:uiPriority w:val="99"/>
    <w:semiHidden/>
    <w:unhideWhenUsed/>
    <w:rsid w:val="00F9091E"/>
    <w:pPr>
      <w:spacing w:after="120"/>
    </w:pPr>
  </w:style>
  <w:style w:type="character" w:customStyle="1" w:styleId="BodyTextChar">
    <w:name w:val="Body Text Char"/>
    <w:basedOn w:val="DefaultParagraphFont"/>
    <w:link w:val="BodyText"/>
    <w:uiPriority w:val="99"/>
    <w:semiHidden/>
    <w:rsid w:val="00F9091E"/>
    <w:rPr>
      <w:rFonts w:ascii="Arial" w:hAnsi="Arial" w:cs="Times New Roman"/>
      <w:sz w:val="24"/>
    </w:rPr>
  </w:style>
  <w:style w:type="character" w:customStyle="1" w:styleId="Heading4Char">
    <w:name w:val="Heading 4 Char"/>
    <w:basedOn w:val="DefaultParagraphFont"/>
    <w:link w:val="Heading4"/>
    <w:uiPriority w:val="9"/>
    <w:semiHidden/>
    <w:rsid w:val="008E5519"/>
    <w:rPr>
      <w:rFonts w:ascii="Arial" w:eastAsiaTheme="majorEastAsia" w:hAnsi="Arial" w:cstheme="majorBidi"/>
      <w:iCs/>
      <w:sz w:val="24"/>
      <w:u w:val="single"/>
    </w:rPr>
  </w:style>
  <w:style w:type="character" w:customStyle="1" w:styleId="Heading5Char">
    <w:name w:val="Heading 5 Char"/>
    <w:basedOn w:val="DefaultParagraphFont"/>
    <w:link w:val="Heading5"/>
    <w:uiPriority w:val="9"/>
    <w:semiHidden/>
    <w:rsid w:val="008E5519"/>
    <w:rPr>
      <w:rFonts w:ascii="Arial" w:eastAsiaTheme="majorEastAsia" w:hAnsi="Arial" w:cstheme="majorBidi"/>
      <w:i/>
      <w:sz w:val="24"/>
    </w:rPr>
  </w:style>
  <w:style w:type="character" w:customStyle="1" w:styleId="Heading6Char">
    <w:name w:val="Heading 6 Char"/>
    <w:basedOn w:val="DefaultParagraphFont"/>
    <w:link w:val="Heading6"/>
    <w:uiPriority w:val="9"/>
    <w:semiHidden/>
    <w:rsid w:val="008E5519"/>
    <w:rPr>
      <w:rFonts w:ascii="Arial" w:eastAsiaTheme="majorEastAsia" w:hAnsi="Arial" w:cstheme="majorBidi"/>
      <w:sz w:val="24"/>
    </w:rPr>
  </w:style>
  <w:style w:type="character" w:customStyle="1" w:styleId="Heading7Char">
    <w:name w:val="Heading 7 Char"/>
    <w:basedOn w:val="DefaultParagraphFont"/>
    <w:link w:val="Heading7"/>
    <w:uiPriority w:val="9"/>
    <w:semiHidden/>
    <w:rsid w:val="008E5519"/>
    <w:rPr>
      <w:rFonts w:ascii="Arial" w:eastAsiaTheme="majorEastAsia" w:hAnsi="Arial" w:cstheme="majorBidi"/>
      <w:i/>
      <w:iCs/>
      <w:sz w:val="24"/>
    </w:rPr>
  </w:style>
  <w:style w:type="character" w:customStyle="1" w:styleId="Heading8Char">
    <w:name w:val="Heading 8 Char"/>
    <w:basedOn w:val="DefaultParagraphFont"/>
    <w:link w:val="Heading8"/>
    <w:uiPriority w:val="9"/>
    <w:semiHidden/>
    <w:rsid w:val="008E5519"/>
    <w:rPr>
      <w:rFonts w:ascii="Arial" w:eastAsiaTheme="majorEastAsia" w:hAnsi="Arial" w:cstheme="majorBidi"/>
      <w:sz w:val="21"/>
      <w:szCs w:val="21"/>
    </w:rPr>
  </w:style>
  <w:style w:type="character" w:customStyle="1" w:styleId="Heading9Char">
    <w:name w:val="Heading 9 Char"/>
    <w:basedOn w:val="DefaultParagraphFont"/>
    <w:link w:val="Heading9"/>
    <w:uiPriority w:val="9"/>
    <w:semiHidden/>
    <w:rsid w:val="008E5519"/>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8E5519"/>
    <w:pPr>
      <w:spacing w:after="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8E5519"/>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8E5519"/>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8E5519"/>
    <w:rPr>
      <w:rFonts w:ascii="Arial" w:eastAsiaTheme="minorEastAsia" w:hAnsi="Arial"/>
      <w:color w:val="5A5A5A" w:themeColor="text1" w:themeTint="A5"/>
      <w:spacing w:val="15"/>
    </w:rPr>
  </w:style>
  <w:style w:type="paragraph" w:styleId="Header">
    <w:name w:val="header"/>
    <w:basedOn w:val="Normal"/>
    <w:link w:val="HeaderChar"/>
    <w:uiPriority w:val="99"/>
    <w:unhideWhenUsed/>
    <w:rsid w:val="00962C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CF2"/>
  </w:style>
  <w:style w:type="paragraph" w:styleId="Footer">
    <w:name w:val="footer"/>
    <w:basedOn w:val="Normal"/>
    <w:link w:val="FooterChar"/>
    <w:uiPriority w:val="99"/>
    <w:unhideWhenUsed/>
    <w:rsid w:val="00962C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CF2"/>
  </w:style>
  <w:style w:type="table" w:styleId="TableGrid">
    <w:name w:val="Table Grid"/>
    <w:basedOn w:val="TableNormal"/>
    <w:uiPriority w:val="39"/>
    <w:rsid w:val="00962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52DC"/>
    <w:pPr>
      <w:ind w:left="720"/>
      <w:contextualSpacing/>
    </w:pPr>
  </w:style>
  <w:style w:type="character" w:styleId="Hyperlink">
    <w:name w:val="Hyperlink"/>
    <w:basedOn w:val="DefaultParagraphFont"/>
    <w:uiPriority w:val="99"/>
    <w:unhideWhenUsed/>
    <w:rsid w:val="00037AAF"/>
    <w:rPr>
      <w:color w:val="0000FF"/>
      <w:u w:val="single"/>
    </w:rPr>
  </w:style>
  <w:style w:type="character" w:styleId="UnresolvedMention">
    <w:name w:val="Unresolved Mention"/>
    <w:basedOn w:val="DefaultParagraphFont"/>
    <w:uiPriority w:val="99"/>
    <w:semiHidden/>
    <w:unhideWhenUsed/>
    <w:rsid w:val="0079572A"/>
    <w:rPr>
      <w:color w:val="605E5C"/>
      <w:shd w:val="clear" w:color="auto" w:fill="E1DFDD"/>
    </w:rPr>
  </w:style>
  <w:style w:type="character" w:styleId="FollowedHyperlink">
    <w:name w:val="FollowedHyperlink"/>
    <w:basedOn w:val="DefaultParagraphFont"/>
    <w:uiPriority w:val="99"/>
    <w:semiHidden/>
    <w:unhideWhenUsed/>
    <w:rsid w:val="007957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pr-info.eu/" TargetMode="External"/><Relationship Id="rId13"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hyperlink" Target="mailto:dataprotection@hhq.org.uk" TargetMode="External"/><Relationship Id="rId12" Type="http://schemas.openxmlformats.org/officeDocument/2006/relationships/hyperlink" Target="mailto:dataprotection@hhq.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guide-to-data-protection/guide-to-the-general-data-protection-regulation-gdpr/individual-righ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http://www.legislation.gov.uk/ukpga/2018/12/contents/enacte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915</Words>
  <Characters>5217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McQuillan</dc:creator>
  <cp:keywords/>
  <dc:description/>
  <cp:lastModifiedBy>David and Kathy Hindle</cp:lastModifiedBy>
  <cp:revision>2</cp:revision>
  <cp:lastPrinted>2024-01-19T21:25:00Z</cp:lastPrinted>
  <dcterms:created xsi:type="dcterms:W3CDTF">2024-01-19T22:10:00Z</dcterms:created>
  <dcterms:modified xsi:type="dcterms:W3CDTF">2024-01-19T22:10:00Z</dcterms:modified>
</cp:coreProperties>
</file>